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margin">
              <wp:align>center</wp:align>
            </wp:positionH>
            <wp:positionV relativeFrom="paragraph">
              <wp:posOffset>-111760</wp:posOffset>
            </wp:positionV>
            <wp:extent cx="3981450" cy="267081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E11C61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3E3A59" w:rsidRPr="0052168D" w:rsidRDefault="00F66D4B" w:rsidP="0052168D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Trollinger</w:t>
      </w:r>
      <w:r w:rsidR="0052168D">
        <w:rPr>
          <w:rFonts w:ascii="Times New Roman" w:hAnsi="Times New Roman" w:cs="Times New Roman"/>
          <w:b/>
          <w:sz w:val="52"/>
          <w:szCs w:val="52"/>
        </w:rPr>
        <w:t xml:space="preserve"> mit </w:t>
      </w:r>
      <w:r w:rsidR="00C96636">
        <w:rPr>
          <w:rFonts w:ascii="Times New Roman" w:hAnsi="Times New Roman" w:cs="Times New Roman"/>
          <w:b/>
          <w:sz w:val="52"/>
          <w:szCs w:val="52"/>
        </w:rPr>
        <w:t>Dornfelder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E11C61">
        <w:rPr>
          <w:rFonts w:ascii="Times New Roman" w:hAnsi="Times New Roman" w:cs="Times New Roman"/>
          <w:sz w:val="32"/>
          <w:szCs w:val="32"/>
        </w:rPr>
        <w:t>8</w:t>
      </w:r>
    </w:p>
    <w:p w:rsidR="0052168D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C96636">
        <w:rPr>
          <w:rFonts w:ascii="Times New Roman" w:hAnsi="Times New Roman" w:cs="Times New Roman"/>
          <w:sz w:val="32"/>
          <w:szCs w:val="32"/>
        </w:rPr>
        <w:t>60%</w:t>
      </w:r>
      <w:r w:rsidR="0052168D">
        <w:rPr>
          <w:rFonts w:ascii="Times New Roman" w:hAnsi="Times New Roman" w:cs="Times New Roman"/>
          <w:sz w:val="32"/>
          <w:szCs w:val="32"/>
        </w:rPr>
        <w:t xml:space="preserve"> </w:t>
      </w:r>
      <w:r w:rsidR="00F66D4B">
        <w:rPr>
          <w:rFonts w:ascii="Times New Roman" w:hAnsi="Times New Roman" w:cs="Times New Roman"/>
          <w:sz w:val="32"/>
          <w:szCs w:val="32"/>
        </w:rPr>
        <w:t>Trollinger</w:t>
      </w:r>
    </w:p>
    <w:p w:rsidR="00C7103F" w:rsidRDefault="0052168D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6636">
        <w:rPr>
          <w:rFonts w:ascii="Times New Roman" w:hAnsi="Times New Roman" w:cs="Times New Roman"/>
          <w:sz w:val="32"/>
          <w:szCs w:val="32"/>
        </w:rPr>
        <w:t>40%</w:t>
      </w:r>
      <w:r w:rsidR="00C96636">
        <w:rPr>
          <w:rFonts w:ascii="Times New Roman" w:hAnsi="Times New Roman" w:cs="Times New Roman"/>
          <w:sz w:val="32"/>
          <w:szCs w:val="32"/>
        </w:rPr>
        <w:tab/>
        <w:t>Dornfelder</w:t>
      </w:r>
      <w:r w:rsidR="00CF06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4E0820">
        <w:rPr>
          <w:rFonts w:ascii="Times New Roman" w:hAnsi="Times New Roman" w:cs="Times New Roman"/>
          <w:sz w:val="32"/>
          <w:szCs w:val="32"/>
        </w:rPr>
        <w:tab/>
        <w:t>Qualität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0A20" w:rsidRDefault="008E6EEA" w:rsidP="003E3A59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C96636" w:rsidRDefault="00C96636" w:rsidP="003E3A59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E84364" w:rsidRDefault="0052168D" w:rsidP="00C96636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Das </w:t>
      </w:r>
      <w:r w:rsidR="00C96636">
        <w:rPr>
          <w:rFonts w:ascii="Times New Roman" w:hAnsi="Times New Roman" w:cs="Times New Roman"/>
          <w:sz w:val="32"/>
          <w:szCs w:val="32"/>
        </w:rPr>
        <w:t xml:space="preserve">Fam. Haberkern </w:t>
      </w:r>
      <w:r>
        <w:rPr>
          <w:rFonts w:ascii="Times New Roman" w:hAnsi="Times New Roman" w:cs="Times New Roman"/>
          <w:sz w:val="32"/>
          <w:szCs w:val="32"/>
        </w:rPr>
        <w:t xml:space="preserve">Cuvée, </w:t>
      </w:r>
      <w:r w:rsidR="00C96636">
        <w:rPr>
          <w:rFonts w:ascii="Times New Roman" w:hAnsi="Times New Roman" w:cs="Times New Roman"/>
          <w:sz w:val="32"/>
          <w:szCs w:val="32"/>
        </w:rPr>
        <w:t xml:space="preserve">einfach </w:t>
      </w:r>
      <w:r>
        <w:rPr>
          <w:rFonts w:ascii="Times New Roman" w:hAnsi="Times New Roman" w:cs="Times New Roman"/>
          <w:sz w:val="32"/>
          <w:szCs w:val="32"/>
        </w:rPr>
        <w:t xml:space="preserve">und </w:t>
      </w:r>
      <w:r w:rsidR="00C96636">
        <w:rPr>
          <w:rFonts w:ascii="Times New Roman" w:hAnsi="Times New Roman" w:cs="Times New Roman"/>
          <w:sz w:val="32"/>
          <w:szCs w:val="32"/>
        </w:rPr>
        <w:t>rund</w:t>
      </w:r>
      <w:r>
        <w:rPr>
          <w:rFonts w:ascii="Times New Roman" w:hAnsi="Times New Roman" w:cs="Times New Roman"/>
          <w:sz w:val="32"/>
          <w:szCs w:val="32"/>
        </w:rPr>
        <w:t xml:space="preserve">. Man Nehme die Leichtigkeit </w:t>
      </w:r>
      <w:r w:rsidR="00C96636">
        <w:rPr>
          <w:rFonts w:ascii="Times New Roman" w:hAnsi="Times New Roman" w:cs="Times New Roman"/>
          <w:sz w:val="32"/>
          <w:szCs w:val="32"/>
        </w:rPr>
        <w:t xml:space="preserve">und Frucht </w:t>
      </w:r>
      <w:r>
        <w:rPr>
          <w:rFonts w:ascii="Times New Roman" w:hAnsi="Times New Roman" w:cs="Times New Roman"/>
          <w:sz w:val="32"/>
          <w:szCs w:val="32"/>
        </w:rPr>
        <w:t>des Trollingers</w:t>
      </w:r>
      <w:r w:rsidR="005D799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die </w:t>
      </w:r>
      <w:r w:rsidR="00BF7F18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raft </w:t>
      </w:r>
      <w:r w:rsidR="00C96636">
        <w:rPr>
          <w:rFonts w:ascii="Times New Roman" w:hAnsi="Times New Roman" w:cs="Times New Roman"/>
          <w:sz w:val="32"/>
          <w:szCs w:val="32"/>
        </w:rPr>
        <w:t xml:space="preserve">und Harmonie </w:t>
      </w:r>
      <w:r>
        <w:rPr>
          <w:rFonts w:ascii="Times New Roman" w:hAnsi="Times New Roman" w:cs="Times New Roman"/>
          <w:sz w:val="32"/>
          <w:szCs w:val="32"/>
        </w:rPr>
        <w:t xml:space="preserve">des </w:t>
      </w:r>
      <w:r w:rsidR="00C96636">
        <w:rPr>
          <w:rFonts w:ascii="Times New Roman" w:hAnsi="Times New Roman" w:cs="Times New Roman"/>
          <w:sz w:val="32"/>
          <w:szCs w:val="32"/>
        </w:rPr>
        <w:t>Dornfelders</w:t>
      </w:r>
      <w:r w:rsidR="005D799F">
        <w:rPr>
          <w:rFonts w:ascii="Times New Roman" w:hAnsi="Times New Roman" w:cs="Times New Roman"/>
          <w:sz w:val="32"/>
          <w:szCs w:val="32"/>
        </w:rPr>
        <w:t xml:space="preserve"> und </w:t>
      </w:r>
      <w:r w:rsidR="00BF7F18">
        <w:rPr>
          <w:rFonts w:ascii="Times New Roman" w:hAnsi="Times New Roman" w:cs="Times New Roman"/>
          <w:sz w:val="32"/>
          <w:szCs w:val="32"/>
        </w:rPr>
        <w:t>man bekommt ein</w:t>
      </w:r>
      <w:r w:rsidR="005D799F">
        <w:rPr>
          <w:rFonts w:ascii="Times New Roman" w:hAnsi="Times New Roman" w:cs="Times New Roman"/>
          <w:sz w:val="32"/>
          <w:szCs w:val="32"/>
        </w:rPr>
        <w:t>en</w:t>
      </w:r>
      <w:r w:rsidR="00BF7F18">
        <w:rPr>
          <w:rFonts w:ascii="Times New Roman" w:hAnsi="Times New Roman" w:cs="Times New Roman"/>
          <w:sz w:val="32"/>
          <w:szCs w:val="32"/>
        </w:rPr>
        <w:t xml:space="preserve"> </w:t>
      </w:r>
      <w:r w:rsidR="00C96636">
        <w:rPr>
          <w:rFonts w:ascii="Times New Roman" w:hAnsi="Times New Roman" w:cs="Times New Roman"/>
          <w:sz w:val="32"/>
          <w:szCs w:val="32"/>
        </w:rPr>
        <w:t xml:space="preserve">dunkel </w:t>
      </w:r>
      <w:r w:rsidR="00BF7F18">
        <w:rPr>
          <w:rFonts w:ascii="Times New Roman" w:hAnsi="Times New Roman" w:cs="Times New Roman"/>
          <w:sz w:val="32"/>
          <w:szCs w:val="32"/>
        </w:rPr>
        <w:t>fruchtigen</w:t>
      </w:r>
      <w:r w:rsidR="005D799F">
        <w:rPr>
          <w:rFonts w:ascii="Times New Roman" w:hAnsi="Times New Roman" w:cs="Times New Roman"/>
          <w:sz w:val="32"/>
          <w:szCs w:val="32"/>
        </w:rPr>
        <w:t>,</w:t>
      </w:r>
      <w:r w:rsidR="00BF7F18">
        <w:rPr>
          <w:rFonts w:ascii="Times New Roman" w:hAnsi="Times New Roman" w:cs="Times New Roman"/>
          <w:sz w:val="32"/>
          <w:szCs w:val="32"/>
        </w:rPr>
        <w:t xml:space="preserve"> vollmundigen</w:t>
      </w:r>
      <w:r w:rsidR="00C96636">
        <w:rPr>
          <w:rFonts w:ascii="Times New Roman" w:hAnsi="Times New Roman" w:cs="Times New Roman"/>
          <w:sz w:val="32"/>
          <w:szCs w:val="32"/>
        </w:rPr>
        <w:t xml:space="preserve">, runden, harmonischen </w:t>
      </w:r>
      <w:r w:rsidR="005D799F">
        <w:rPr>
          <w:rFonts w:ascii="Times New Roman" w:hAnsi="Times New Roman" w:cs="Times New Roman"/>
          <w:sz w:val="32"/>
          <w:szCs w:val="32"/>
        </w:rPr>
        <w:t>und in diesen Fall mit leichten Restsüße</w:t>
      </w:r>
      <w:r w:rsidR="00C96636">
        <w:rPr>
          <w:rFonts w:ascii="Times New Roman" w:hAnsi="Times New Roman" w:cs="Times New Roman"/>
          <w:sz w:val="32"/>
          <w:szCs w:val="32"/>
        </w:rPr>
        <w:t>n</w:t>
      </w:r>
      <w:r w:rsidR="005D799F">
        <w:rPr>
          <w:rFonts w:ascii="Times New Roman" w:hAnsi="Times New Roman" w:cs="Times New Roman"/>
          <w:sz w:val="32"/>
          <w:szCs w:val="32"/>
        </w:rPr>
        <w:t xml:space="preserve"> Wein der jetzt vor Vielfalt </w:t>
      </w:r>
      <w:r w:rsidR="00C96636">
        <w:rPr>
          <w:rFonts w:ascii="Times New Roman" w:hAnsi="Times New Roman" w:cs="Times New Roman"/>
          <w:sz w:val="32"/>
          <w:szCs w:val="32"/>
        </w:rPr>
        <w:t>glänzt</w:t>
      </w:r>
      <w:r w:rsidR="005D799F">
        <w:rPr>
          <w:rFonts w:ascii="Times New Roman" w:hAnsi="Times New Roman" w:cs="Times New Roman"/>
          <w:sz w:val="32"/>
          <w:szCs w:val="32"/>
        </w:rPr>
        <w:t>.</w:t>
      </w:r>
    </w:p>
    <w:p w:rsidR="005B2B75" w:rsidRDefault="007336AE" w:rsidP="005B2B75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</w:t>
      </w:r>
      <w:r w:rsidR="005B2B75">
        <w:rPr>
          <w:rFonts w:ascii="Times New Roman" w:hAnsi="Times New Roman" w:cs="Times New Roman"/>
          <w:sz w:val="32"/>
          <w:szCs w:val="32"/>
        </w:rPr>
        <w:t>:</w:t>
      </w:r>
    </w:p>
    <w:p w:rsidR="00E84364" w:rsidRDefault="00E84364" w:rsidP="00C96636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Helles Fleisch, Geflügel und besonders gut natürlich zum Vesper. </w:t>
      </w:r>
      <w:r w:rsidR="00C96636">
        <w:rPr>
          <w:rFonts w:ascii="Times New Roman" w:hAnsi="Times New Roman" w:cs="Times New Roman"/>
          <w:sz w:val="32"/>
          <w:szCs w:val="32"/>
        </w:rPr>
        <w:t>Bei unseren Familienfesten nicht weg zu denken.</w:t>
      </w:r>
    </w:p>
    <w:p w:rsidR="00C96636" w:rsidRDefault="00C96636" w:rsidP="00C96636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66D4B">
        <w:rPr>
          <w:rFonts w:ascii="Times New Roman" w:hAnsi="Times New Roman" w:cs="Times New Roman"/>
          <w:sz w:val="32"/>
          <w:szCs w:val="32"/>
        </w:rPr>
        <w:tab/>
      </w:r>
      <w:r w:rsidR="001D28B6">
        <w:rPr>
          <w:rFonts w:ascii="Times New Roman" w:hAnsi="Times New Roman" w:cs="Times New Roman"/>
          <w:sz w:val="32"/>
          <w:szCs w:val="32"/>
        </w:rPr>
        <w:t>1</w:t>
      </w:r>
      <w:r w:rsidR="00C96636">
        <w:rPr>
          <w:rFonts w:ascii="Times New Roman" w:hAnsi="Times New Roman" w:cs="Times New Roman"/>
          <w:sz w:val="32"/>
          <w:szCs w:val="32"/>
        </w:rPr>
        <w:t>6,</w:t>
      </w:r>
      <w:r w:rsidR="00E11C61">
        <w:rPr>
          <w:rFonts w:ascii="Times New Roman" w:hAnsi="Times New Roman" w:cs="Times New Roman"/>
          <w:sz w:val="32"/>
          <w:szCs w:val="32"/>
        </w:rPr>
        <w:t>4</w:t>
      </w:r>
      <w:r w:rsidR="001243AA">
        <w:rPr>
          <w:rFonts w:ascii="Times New Roman" w:hAnsi="Times New Roman" w:cs="Times New Roman"/>
          <w:sz w:val="32"/>
          <w:szCs w:val="32"/>
        </w:rPr>
        <w:t xml:space="preserve">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E3A59">
        <w:rPr>
          <w:rFonts w:ascii="Times New Roman" w:hAnsi="Times New Roman" w:cs="Times New Roman"/>
          <w:sz w:val="32"/>
          <w:szCs w:val="32"/>
        </w:rPr>
        <w:t>4,</w:t>
      </w:r>
      <w:r w:rsidR="00E11C61">
        <w:rPr>
          <w:rFonts w:ascii="Times New Roman" w:hAnsi="Times New Roman" w:cs="Times New Roman"/>
          <w:sz w:val="32"/>
          <w:szCs w:val="32"/>
        </w:rPr>
        <w:t>8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E11C61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EF48D1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</w:t>
      </w:r>
      <w:r w:rsidR="00C96636">
        <w:rPr>
          <w:rFonts w:ascii="Times New Roman" w:hAnsi="Times New Roman" w:cs="Times New Roman"/>
          <w:sz w:val="32"/>
          <w:szCs w:val="32"/>
        </w:rPr>
        <w:t>3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C96636">
      <w:pPr>
        <w:pStyle w:val="KeinLeerraum"/>
        <w:ind w:left="708" w:hanging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B2B75">
        <w:rPr>
          <w:rFonts w:ascii="Times New Roman" w:hAnsi="Times New Roman" w:cs="Times New Roman"/>
          <w:sz w:val="32"/>
          <w:szCs w:val="32"/>
        </w:rPr>
        <w:t>Sandstein</w:t>
      </w:r>
      <w:r w:rsidR="00C9663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457A"/>
    <w:rsid w:val="0003041D"/>
    <w:rsid w:val="000C1C42"/>
    <w:rsid w:val="001243AA"/>
    <w:rsid w:val="001D28B6"/>
    <w:rsid w:val="002144D5"/>
    <w:rsid w:val="002C7721"/>
    <w:rsid w:val="00333C36"/>
    <w:rsid w:val="003703FC"/>
    <w:rsid w:val="003E3A59"/>
    <w:rsid w:val="003F10E7"/>
    <w:rsid w:val="004E0820"/>
    <w:rsid w:val="0052168D"/>
    <w:rsid w:val="005B2B75"/>
    <w:rsid w:val="005D799F"/>
    <w:rsid w:val="007336AE"/>
    <w:rsid w:val="00844ECC"/>
    <w:rsid w:val="008E6EEA"/>
    <w:rsid w:val="009418A4"/>
    <w:rsid w:val="00A15B59"/>
    <w:rsid w:val="00A84C95"/>
    <w:rsid w:val="00A93E27"/>
    <w:rsid w:val="00B12E4D"/>
    <w:rsid w:val="00B70A0F"/>
    <w:rsid w:val="00B7283C"/>
    <w:rsid w:val="00BF7F18"/>
    <w:rsid w:val="00C11E37"/>
    <w:rsid w:val="00C7103F"/>
    <w:rsid w:val="00C96636"/>
    <w:rsid w:val="00CA669E"/>
    <w:rsid w:val="00CE0A20"/>
    <w:rsid w:val="00CF06BD"/>
    <w:rsid w:val="00D0006F"/>
    <w:rsid w:val="00D54AA2"/>
    <w:rsid w:val="00E11C61"/>
    <w:rsid w:val="00E84364"/>
    <w:rsid w:val="00EF48D1"/>
    <w:rsid w:val="00F66D4B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B7B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14</cp:revision>
  <dcterms:created xsi:type="dcterms:W3CDTF">2017-12-28T09:33:00Z</dcterms:created>
  <dcterms:modified xsi:type="dcterms:W3CDTF">2020-03-30T12:35:00Z</dcterms:modified>
</cp:coreProperties>
</file>