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8C1" w:rsidRPr="00333C36" w:rsidRDefault="00147FA3" w:rsidP="008228C1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AFE8B0">
            <wp:simplePos x="0" y="0"/>
            <wp:positionH relativeFrom="column">
              <wp:posOffset>962025</wp:posOffset>
            </wp:positionH>
            <wp:positionV relativeFrom="paragraph">
              <wp:posOffset>-219075</wp:posOffset>
            </wp:positionV>
            <wp:extent cx="4714875" cy="2743200"/>
            <wp:effectExtent l="0" t="0" r="9525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228C1" w:rsidRDefault="008228C1" w:rsidP="008228C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228C1" w:rsidRDefault="008228C1" w:rsidP="008228C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6A1E66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1524D2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Lemberger</w:t>
      </w:r>
    </w:p>
    <w:p w:rsidR="003F10E7" w:rsidRPr="003F10E7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8228C1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201</w:t>
      </w:r>
      <w:r w:rsidR="006A1E66">
        <w:rPr>
          <w:rFonts w:ascii="Times New Roman" w:hAnsi="Times New Roman" w:cs="Times New Roman"/>
          <w:sz w:val="32"/>
          <w:szCs w:val="32"/>
        </w:rPr>
        <w:t>8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Lemberger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Qualitätswein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8228C1" w:rsidRDefault="008228C1" w:rsidP="00F8682E">
      <w:pPr>
        <w:pStyle w:val="KeinLeerraum"/>
        <w:ind w:left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F8682E">
      <w:pPr>
        <w:pStyle w:val="KeinLeerraum"/>
        <w:ind w:left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F8682E" w:rsidRDefault="001524D2" w:rsidP="00F8682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Großartige </w:t>
      </w:r>
      <w:r w:rsidR="008228C1">
        <w:rPr>
          <w:rFonts w:ascii="Times New Roman" w:hAnsi="Times New Roman" w:cs="Times New Roman"/>
          <w:sz w:val="32"/>
          <w:szCs w:val="32"/>
        </w:rPr>
        <w:t xml:space="preserve">Waldfrüchte, wie Brombeere und </w:t>
      </w:r>
      <w:r w:rsidR="0057795A">
        <w:rPr>
          <w:rFonts w:ascii="Times New Roman" w:hAnsi="Times New Roman" w:cs="Times New Roman"/>
          <w:sz w:val="32"/>
          <w:szCs w:val="32"/>
        </w:rPr>
        <w:t>Wilde</w:t>
      </w:r>
      <w:r>
        <w:rPr>
          <w:rFonts w:ascii="Times New Roman" w:hAnsi="Times New Roman" w:cs="Times New Roman"/>
          <w:sz w:val="32"/>
          <w:szCs w:val="32"/>
        </w:rPr>
        <w:t xml:space="preserve"> Erdbeeren unterstreichen die Nase, im Geschmack elegante Tannine die vom typischen Sortenaroma getragen werden, das ganze wir</w:t>
      </w:r>
      <w:r w:rsidR="008228C1">
        <w:rPr>
          <w:rFonts w:ascii="Times New Roman" w:hAnsi="Times New Roman" w:cs="Times New Roman"/>
          <w:sz w:val="32"/>
          <w:szCs w:val="32"/>
        </w:rPr>
        <w:t>d mit einen langen N</w:t>
      </w:r>
      <w:r>
        <w:rPr>
          <w:rFonts w:ascii="Times New Roman" w:hAnsi="Times New Roman" w:cs="Times New Roman"/>
          <w:sz w:val="32"/>
          <w:szCs w:val="32"/>
        </w:rPr>
        <w:t xml:space="preserve">achklang im Abgang zu einer runden Sache die für sich spricht. </w:t>
      </w:r>
    </w:p>
    <w:p w:rsidR="00333C36" w:rsidRDefault="007336AE" w:rsidP="00F8682E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1524D2" w:rsidRDefault="001524D2" w:rsidP="00F8682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Idealer Begleiter zu Rinderbraten und Wildgerichten mit Wildpreiselbeeren, ein Wein für die besonderen Abende</w:t>
      </w:r>
      <w:r w:rsidR="008228C1">
        <w:rPr>
          <w:rFonts w:ascii="Times New Roman" w:hAnsi="Times New Roman" w:cs="Times New Roman"/>
          <w:sz w:val="32"/>
          <w:szCs w:val="32"/>
        </w:rPr>
        <w:t>.</w:t>
      </w:r>
    </w:p>
    <w:p w:rsidR="002144D5" w:rsidRDefault="002144D5" w:rsidP="002144D5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16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1E66">
        <w:rPr>
          <w:rFonts w:ascii="Times New Roman" w:hAnsi="Times New Roman" w:cs="Times New Roman"/>
          <w:sz w:val="32"/>
          <w:szCs w:val="32"/>
        </w:rPr>
        <w:t>5,4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6A1E6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672C2E">
        <w:rPr>
          <w:rFonts w:ascii="Times New Roman" w:hAnsi="Times New Roman" w:cs="Times New Roman"/>
          <w:sz w:val="32"/>
          <w:szCs w:val="32"/>
        </w:rPr>
        <w:t>4,</w:t>
      </w:r>
      <w:r w:rsidR="006A1E66">
        <w:rPr>
          <w:rFonts w:ascii="Times New Roman" w:hAnsi="Times New Roman" w:cs="Times New Roman"/>
          <w:sz w:val="32"/>
          <w:szCs w:val="32"/>
        </w:rPr>
        <w:t>4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6A1E66">
        <w:rPr>
          <w:rFonts w:ascii="Times New Roman" w:hAnsi="Times New Roman" w:cs="Times New Roman"/>
          <w:sz w:val="32"/>
          <w:szCs w:val="32"/>
        </w:rPr>
        <w:t xml:space="preserve">4 </w:t>
      </w:r>
      <w:bookmarkStart w:id="0" w:name="_GoBack"/>
      <w:bookmarkEnd w:id="0"/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3-4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Sandsteinboden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147FA3"/>
    <w:rsid w:val="001524D2"/>
    <w:rsid w:val="002144D5"/>
    <w:rsid w:val="002C7721"/>
    <w:rsid w:val="00333C36"/>
    <w:rsid w:val="003703FC"/>
    <w:rsid w:val="003F10E7"/>
    <w:rsid w:val="0057795A"/>
    <w:rsid w:val="00672C2E"/>
    <w:rsid w:val="006A1E66"/>
    <w:rsid w:val="007336AE"/>
    <w:rsid w:val="008228C1"/>
    <w:rsid w:val="008E6EEA"/>
    <w:rsid w:val="00A93E27"/>
    <w:rsid w:val="00B05DE0"/>
    <w:rsid w:val="00B12E4D"/>
    <w:rsid w:val="00B4388B"/>
    <w:rsid w:val="00F84165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8CD"/>
  <w15:docId w15:val="{851191D2-2910-46CE-96BA-DF8509E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10</cp:revision>
  <dcterms:created xsi:type="dcterms:W3CDTF">2006-12-26T22:17:00Z</dcterms:created>
  <dcterms:modified xsi:type="dcterms:W3CDTF">2020-01-31T15:05:00Z</dcterms:modified>
</cp:coreProperties>
</file>